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编号：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XH03HQ002-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/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0</w:t>
      </w:r>
    </w:p>
    <w:bookmarkEnd w:id="0"/>
    <w:p>
      <w:pPr>
        <w:jc w:val="center"/>
        <w:rPr>
          <w:rFonts w:hint="eastAsia" w:ascii="方正小标宋简体" w:hAnsi="方正小标宋简体" w:eastAsia="方正小标宋简体" w:cs="宋体"/>
          <w:sz w:val="52"/>
          <w:szCs w:val="52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宋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宋体"/>
          <w:sz w:val="52"/>
          <w:szCs w:val="52"/>
          <w:lang w:eastAsia="zh-CN"/>
        </w:rPr>
        <w:t>厦门海洋职业技术学院</w:t>
      </w:r>
    </w:p>
    <w:p>
      <w:pPr>
        <w:jc w:val="center"/>
        <w:rPr>
          <w:rFonts w:ascii="方正小标宋简体" w:hAnsi="方正小标宋简体" w:eastAsia="方正小标宋简体" w:cs="宋体"/>
          <w:sz w:val="52"/>
          <w:szCs w:val="52"/>
        </w:rPr>
      </w:pPr>
      <w:r>
        <w:rPr>
          <w:rFonts w:hint="eastAsia" w:ascii="方正小标宋简体" w:hAnsi="方正小标宋简体" w:eastAsia="方正小标宋简体" w:cs="宋体"/>
          <w:sz w:val="52"/>
          <w:szCs w:val="52"/>
        </w:rPr>
        <w:t>政府采购项目采购实施计划</w:t>
      </w: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</w:p>
    <w:p>
      <w:pPr>
        <w:ind w:firstLine="1440" w:firstLineChars="450"/>
        <w:rPr>
          <w:rFonts w:ascii="方正小标宋简体" w:hAnsi="方正小标宋简体" w:eastAsia="方正小标宋简体" w:cs="Times New Roman"/>
          <w:sz w:val="32"/>
          <w:szCs w:val="32"/>
          <w:u w:val="single"/>
        </w:rPr>
      </w:pPr>
      <w:r>
        <w:rPr>
          <w:rFonts w:ascii="方正小标宋简体" w:hAnsi="方正小标宋简体" w:eastAsia="方正小标宋简体" w:cs="Times New Roman"/>
          <w:sz w:val="32"/>
          <w:szCs w:val="32"/>
        </w:rPr>
        <w:t>项目名称</w:t>
      </w:r>
      <w:r>
        <w:rPr>
          <w:rFonts w:hint="eastAsia" w:ascii="方正小标宋简体" w:hAnsi="方正小标宋简体" w:eastAsia="方正小标宋简体" w:cs="Times New Roman"/>
          <w:sz w:val="32"/>
          <w:szCs w:val="32"/>
        </w:rPr>
        <w:t>：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   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   </w:t>
      </w:r>
    </w:p>
    <w:p>
      <w:pPr>
        <w:ind w:firstLine="1440" w:firstLineChars="450"/>
        <w:rPr>
          <w:rFonts w:ascii="方正小标宋简体" w:hAnsi="方正小标宋简体" w:eastAsia="方正小标宋简体" w:cs="Times New Roman"/>
          <w:sz w:val="32"/>
          <w:szCs w:val="32"/>
          <w:u w:val="single"/>
        </w:rPr>
      </w:pPr>
      <w:r>
        <w:rPr>
          <w:rFonts w:hint="eastAsia" w:ascii="方正小标宋简体" w:hAnsi="方正小标宋简体" w:eastAsia="方正小标宋简体" w:cs="Times New Roman"/>
          <w:sz w:val="32"/>
          <w:szCs w:val="32"/>
        </w:rPr>
        <w:t>采购单位：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 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     </w:t>
      </w:r>
    </w:p>
    <w:p>
      <w:pPr>
        <w:ind w:firstLine="1440" w:firstLineChars="450"/>
        <w:rPr>
          <w:rFonts w:ascii="方正小标宋简体" w:hAnsi="方正小标宋简体" w:eastAsia="方正小标宋简体" w:cs="Times New Roman"/>
          <w:sz w:val="32"/>
          <w:szCs w:val="32"/>
          <w:u w:val="single"/>
        </w:rPr>
      </w:pPr>
      <w:r>
        <w:rPr>
          <w:rFonts w:hint="eastAsia" w:ascii="方正小标宋简体" w:hAnsi="方正小标宋简体" w:eastAsia="方正小标宋简体" w:cs="Times New Roman"/>
          <w:sz w:val="32"/>
          <w:szCs w:val="32"/>
        </w:rPr>
        <w:t>编制单位：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      </w:t>
      </w:r>
    </w:p>
    <w:p>
      <w:pPr>
        <w:ind w:firstLine="1440" w:firstLineChars="450"/>
        <w:rPr>
          <w:rFonts w:ascii="方正小标宋简体" w:hAnsi="方正小标宋简体" w:eastAsia="方正小标宋简体" w:cs="Times New Roman"/>
          <w:sz w:val="32"/>
          <w:szCs w:val="32"/>
          <w:u w:val="single"/>
        </w:rPr>
      </w:pPr>
      <w:r>
        <w:rPr>
          <w:rFonts w:hint="eastAsia" w:ascii="方正小标宋简体" w:hAnsi="方正小标宋简体" w:eastAsia="方正小标宋简体" w:cs="Times New Roman"/>
          <w:sz w:val="32"/>
          <w:szCs w:val="32"/>
        </w:rPr>
        <w:t>编制时间：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方正小标宋简体" w:hAnsi="方正小标宋简体" w:eastAsia="方正小标宋简体" w:cs="Times New Roman"/>
          <w:sz w:val="32"/>
          <w:szCs w:val="32"/>
          <w:u w:val="single"/>
        </w:rPr>
        <w:t xml:space="preserve">                </w:t>
      </w:r>
    </w:p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</w:p>
    <w:p>
      <w:pPr>
        <w:rPr>
          <w:rFonts w:ascii="方正小标宋简体" w:hAnsi="方正小标宋简体" w:eastAsia="方正小标宋简体" w:cs="Times New Roman"/>
          <w:sz w:val="44"/>
          <w:szCs w:val="4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 xml:space="preserve">编 制 </w:t>
      </w:r>
      <w:r>
        <w:rPr>
          <w:rFonts w:ascii="方正小标宋简体" w:hAnsi="方正小标宋简体" w:eastAsia="方正小标宋简体"/>
          <w:sz w:val="44"/>
          <w:szCs w:val="44"/>
        </w:rPr>
        <w:t>说</w:t>
      </w:r>
      <w:r>
        <w:rPr>
          <w:rFonts w:hint="eastAsia" w:ascii="方正小标宋简体" w:hAnsi="方正小标宋简体" w:eastAsia="方正小标宋简体"/>
          <w:sz w:val="44"/>
          <w:szCs w:val="44"/>
        </w:rPr>
        <w:t xml:space="preserve"> </w:t>
      </w:r>
      <w:r>
        <w:rPr>
          <w:rFonts w:ascii="方正小标宋简体" w:hAnsi="方正小标宋简体" w:eastAsia="方正小标宋简体"/>
          <w:sz w:val="44"/>
          <w:szCs w:val="44"/>
        </w:rPr>
        <w:t>明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一、编制的采购实施计划应当符合《财政部关于印发政府采购需求管理办法的通知》（财库〔2021〕22号）要求、政府采购及学校采购管理的相关规定。</w:t>
      </w:r>
    </w:p>
    <w:p>
      <w:pPr>
        <w:spacing w:after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</w:t>
      </w:r>
      <w:r>
        <w:rPr>
          <w:rFonts w:hint="eastAsia" w:ascii="仿宋" w:hAnsi="仿宋" w:eastAsia="仿宋"/>
          <w:sz w:val="32"/>
          <w:szCs w:val="32"/>
          <w:lang w:eastAsia="zh-CN"/>
        </w:rPr>
        <w:t>政府采购项目填写本表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after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三、斜体字部分属于提醒内容，编制时应删除。</w:t>
      </w:r>
    </w:p>
    <w:p>
      <w:pPr>
        <w:spacing w:after="0" w:line="360" w:lineRule="auto"/>
        <w:jc w:val="both"/>
        <w:rPr>
          <w:rFonts w:ascii="仿宋_GB2312" w:hAnsi="Calibri" w:eastAsia="仿宋_GB2312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after="0" w:line="360" w:lineRule="auto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一、合同订立安排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（一）采购组织形式</w:t>
      </w:r>
      <w:r>
        <w:rPr>
          <w:rFonts w:hint="eastAsia" w:ascii="楷体" w:hAnsi="楷体" w:eastAsia="楷体"/>
          <w:color w:val="FF0000"/>
          <w:sz w:val="28"/>
          <w:szCs w:val="32"/>
        </w:rPr>
        <w:t>（</w:t>
      </w:r>
      <w:r>
        <w:rPr>
          <w:rFonts w:hint="eastAsia" w:ascii="楷体" w:hAnsi="楷体" w:eastAsia="楷体"/>
          <w:color w:val="FF0000"/>
          <w:sz w:val="28"/>
          <w:szCs w:val="32"/>
          <w:lang w:eastAsia="zh-CN"/>
        </w:rPr>
        <w:t>采购与招标工作办公室</w:t>
      </w:r>
      <w:r>
        <w:rPr>
          <w:rFonts w:hint="eastAsia" w:ascii="楷体" w:hAnsi="楷体" w:eastAsia="楷体"/>
          <w:color w:val="FF0000"/>
          <w:sz w:val="28"/>
          <w:szCs w:val="32"/>
        </w:rPr>
        <w:t>填写）</w:t>
      </w:r>
    </w:p>
    <w:p>
      <w:pPr>
        <w:spacing w:after="0" w:line="360" w:lineRule="auto"/>
        <w:ind w:firstLine="640" w:firstLineChars="200"/>
        <w:jc w:val="both"/>
        <w:rPr>
          <w:rFonts w:ascii="仿宋" w:hAnsi="仿宋" w:eastAsia="仿宋"/>
          <w:i/>
          <w:sz w:val="28"/>
          <w:szCs w:val="32"/>
          <w:u w:val="single"/>
        </w:rPr>
      </w:pPr>
      <w:r>
        <w:rPr>
          <w:rFonts w:hint="eastAsia" w:ascii="仿宋" w:hAnsi="仿宋" w:eastAsia="仿宋"/>
          <w:i/>
          <w:sz w:val="32"/>
          <w:szCs w:val="32"/>
        </w:rPr>
        <w:t>□</w:t>
      </w:r>
      <w:r>
        <w:rPr>
          <w:rFonts w:hint="eastAsia" w:ascii="仿宋" w:hAnsi="仿宋" w:eastAsia="仿宋"/>
          <w:i/>
          <w:sz w:val="28"/>
          <w:szCs w:val="32"/>
          <w:u w:val="single"/>
        </w:rPr>
        <w:t>分散采购、</w:t>
      </w:r>
      <w:r>
        <w:rPr>
          <w:rFonts w:hint="eastAsia" w:ascii="仿宋" w:hAnsi="仿宋" w:eastAsia="仿宋"/>
          <w:i/>
          <w:sz w:val="32"/>
          <w:szCs w:val="32"/>
        </w:rPr>
        <w:t>□</w:t>
      </w:r>
      <w:r>
        <w:rPr>
          <w:rFonts w:hint="eastAsia" w:ascii="仿宋" w:hAnsi="仿宋" w:eastAsia="仿宋"/>
          <w:i/>
          <w:sz w:val="28"/>
          <w:szCs w:val="32"/>
          <w:u w:val="single"/>
        </w:rPr>
        <w:t>集中采购、</w:t>
      </w:r>
      <w:r>
        <w:rPr>
          <w:rFonts w:hint="eastAsia" w:ascii="仿宋" w:hAnsi="仿宋" w:eastAsia="仿宋"/>
          <w:i/>
          <w:sz w:val="32"/>
          <w:szCs w:val="32"/>
        </w:rPr>
        <w:t>□</w:t>
      </w:r>
      <w:r>
        <w:rPr>
          <w:rFonts w:hint="eastAsia" w:ascii="仿宋" w:hAnsi="仿宋" w:eastAsia="仿宋"/>
          <w:i/>
          <w:sz w:val="28"/>
          <w:szCs w:val="32"/>
          <w:u w:val="single"/>
        </w:rPr>
        <w:t>大宗货物采购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（二）委托代理安排</w:t>
      </w:r>
      <w:r>
        <w:rPr>
          <w:rFonts w:hint="eastAsia" w:ascii="楷体" w:hAnsi="楷体" w:eastAsia="楷体"/>
          <w:color w:val="FF0000"/>
          <w:sz w:val="28"/>
          <w:szCs w:val="32"/>
        </w:rPr>
        <w:t>（</w:t>
      </w:r>
      <w:r>
        <w:rPr>
          <w:rFonts w:hint="eastAsia" w:ascii="楷体" w:hAnsi="楷体" w:eastAsia="楷体"/>
          <w:color w:val="FF0000"/>
          <w:sz w:val="28"/>
          <w:szCs w:val="32"/>
          <w:lang w:eastAsia="zh-CN"/>
        </w:rPr>
        <w:t>采购与招标工作办公室</w:t>
      </w:r>
      <w:r>
        <w:rPr>
          <w:rFonts w:hint="eastAsia" w:ascii="楷体" w:hAnsi="楷体" w:eastAsia="楷体"/>
          <w:color w:val="FF0000"/>
          <w:sz w:val="28"/>
          <w:szCs w:val="32"/>
        </w:rPr>
        <w:t>填写）</w:t>
      </w:r>
    </w:p>
    <w:p>
      <w:pPr>
        <w:spacing w:after="0" w:line="360" w:lineRule="auto"/>
        <w:ind w:firstLine="700" w:firstLineChars="250"/>
        <w:jc w:val="both"/>
        <w:rPr>
          <w:rFonts w:hint="eastAsia"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  <w:u w:val="single"/>
        </w:rPr>
        <w:t xml:space="preserve">通过采购摇号小程序确定采购代理机构为：      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color w:val="FF0000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（三）采购方式</w:t>
      </w:r>
      <w:r>
        <w:rPr>
          <w:rFonts w:hint="eastAsia" w:ascii="楷体" w:hAnsi="楷体" w:eastAsia="楷体"/>
          <w:color w:val="FF0000"/>
          <w:sz w:val="28"/>
          <w:szCs w:val="32"/>
        </w:rPr>
        <w:t>（</w:t>
      </w:r>
      <w:r>
        <w:rPr>
          <w:rFonts w:hint="eastAsia" w:ascii="楷体" w:hAnsi="楷体" w:eastAsia="楷体"/>
          <w:color w:val="FF0000"/>
          <w:sz w:val="28"/>
          <w:szCs w:val="32"/>
          <w:lang w:eastAsia="zh-CN"/>
        </w:rPr>
        <w:t>采购与招标工作办公室</w:t>
      </w:r>
      <w:r>
        <w:rPr>
          <w:rFonts w:hint="eastAsia" w:ascii="楷体" w:hAnsi="楷体" w:eastAsia="楷体"/>
          <w:color w:val="FF0000"/>
          <w:sz w:val="28"/>
          <w:szCs w:val="32"/>
        </w:rPr>
        <w:t>填写）</w:t>
      </w:r>
    </w:p>
    <w:p>
      <w:pPr>
        <w:spacing w:line="560" w:lineRule="exact"/>
        <w:ind w:firstLine="480" w:firstLineChars="200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达到公开招标数额标准，因特殊情况需要采用公开招标以外的采购方式的，应当依法获得批准。</w:t>
      </w:r>
    </w:p>
    <w:p>
      <w:pPr>
        <w:spacing w:line="560" w:lineRule="exact"/>
        <w:ind w:firstLine="480" w:firstLineChars="200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采购需求客观、明确且规格、标准统一的采购项目，如通用设备、物业管理等，一般采用招标或者询价方式采购。</w:t>
      </w:r>
    </w:p>
    <w:p>
      <w:pPr>
        <w:spacing w:line="560" w:lineRule="exact"/>
        <w:ind w:firstLine="480" w:firstLineChars="200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采购需求客观、明确，且技术较复杂或者专业性较强的采购项目，如大型装备、咨询服务等，一般采用招标、谈判（磋商）方式采购。</w:t>
      </w:r>
    </w:p>
    <w:p>
      <w:pPr>
        <w:spacing w:line="560" w:lineRule="exact"/>
        <w:ind w:firstLine="480" w:firstLineChars="200"/>
        <w:rPr>
          <w:rFonts w:ascii="楷体" w:hAnsi="楷体" w:eastAsia="楷体"/>
          <w:sz w:val="24"/>
          <w:szCs w:val="32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不能完全确定客观指标，需由供应商提供设计方案、解决方案或者组织方案的采购项目，如首购订购、设计服务、政府和社会资本合作等，一般采用谈判（磋商）方式采购。</w:t>
      </w:r>
    </w:p>
    <w:p>
      <w:pPr>
        <w:spacing w:after="0" w:line="360" w:lineRule="auto"/>
        <w:ind w:firstLine="643" w:firstLineChars="200"/>
        <w:jc w:val="both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1.包1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（1）采购方式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□公开招标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□邀请招标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□竞争性谈判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□竞争性磋商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□询价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□单一来源采购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□其他采购方式：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    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选择采购方式的理由：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（2）采购方式是否需要财政部门批准：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□不需要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□需要，报批安排：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2.包2：</w:t>
      </w:r>
    </w:p>
    <w:p>
      <w:pPr>
        <w:spacing w:after="0" w:line="360" w:lineRule="auto"/>
        <w:ind w:firstLine="640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（四）竞争范围</w:t>
      </w:r>
      <w:r>
        <w:rPr>
          <w:rFonts w:hint="eastAsia" w:ascii="楷体" w:hAnsi="楷体" w:eastAsia="楷体"/>
          <w:color w:val="FF0000"/>
          <w:sz w:val="28"/>
          <w:szCs w:val="32"/>
        </w:rPr>
        <w:t>（</w:t>
      </w:r>
      <w:r>
        <w:rPr>
          <w:rFonts w:hint="eastAsia" w:ascii="楷体" w:hAnsi="楷体" w:eastAsia="楷体"/>
          <w:color w:val="FF0000"/>
          <w:sz w:val="28"/>
          <w:szCs w:val="32"/>
          <w:lang w:eastAsia="zh-CN"/>
        </w:rPr>
        <w:t>采购与招标工作办公室</w:t>
      </w:r>
      <w:r>
        <w:rPr>
          <w:rFonts w:hint="eastAsia" w:ascii="楷体" w:hAnsi="楷体" w:eastAsia="楷体"/>
          <w:color w:val="FF0000"/>
          <w:sz w:val="28"/>
          <w:szCs w:val="32"/>
        </w:rPr>
        <w:t>填写）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1.包1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ascii="MS Mincho" w:hAnsi="MS Mincho" w:cs="MS Mincho"/>
          <w:sz w:val="28"/>
          <w:szCs w:val="28"/>
        </w:rPr>
        <w:fldChar w:fldCharType="begin"/>
      </w:r>
      <w:r>
        <w:rPr>
          <w:rFonts w:ascii="MS Mincho" w:hAnsi="MS Mincho" w:cs="MS Mincho"/>
          <w:sz w:val="28"/>
          <w:szCs w:val="28"/>
        </w:rPr>
        <w:instrText xml:space="preserve"> </w:instrText>
      </w:r>
      <w:r>
        <w:rPr>
          <w:rFonts w:hint="eastAsia" w:ascii="MS Mincho" w:hAnsi="MS Mincho" w:cs="MS Mincho"/>
          <w:sz w:val="28"/>
          <w:szCs w:val="28"/>
        </w:rPr>
        <w:instrText xml:space="preserve">eq \o\ac(□,</w:instrText>
      </w:r>
      <w:r>
        <w:rPr>
          <w:rFonts w:hint="eastAsia" w:ascii="宋体" w:hAnsi="MS Mincho" w:cs="MS Mincho"/>
          <w:position w:val="2"/>
          <w:sz w:val="28"/>
          <w:szCs w:val="28"/>
        </w:rPr>
        <w:instrText xml:space="preserve">√</w:instrText>
      </w:r>
      <w:r>
        <w:rPr>
          <w:rFonts w:hint="eastAsia" w:ascii="MS Mincho" w:hAnsi="MS Mincho" w:cs="MS Mincho"/>
          <w:sz w:val="28"/>
          <w:szCs w:val="28"/>
        </w:rPr>
        <w:instrText xml:space="preserve">)</w:instrText>
      </w:r>
      <w:r>
        <w:rPr>
          <w:rFonts w:ascii="MS Mincho" w:hAnsi="MS Mincho" w:cs="MS Mincho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公开方式</w:t>
      </w:r>
    </w:p>
    <w:p>
      <w:pPr>
        <w:spacing w:after="0" w:line="360" w:lineRule="auto"/>
        <w:ind w:firstLine="560" w:firstLineChars="200"/>
        <w:jc w:val="both"/>
        <w:rPr>
          <w:rFonts w:ascii="楷体" w:hAnsi="楷体" w:eastAsia="楷体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□邀请方式，依据：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2.包2：</w:t>
      </w:r>
    </w:p>
    <w:p>
      <w:pPr>
        <w:spacing w:after="0" w:line="360" w:lineRule="auto"/>
        <w:ind w:firstLine="640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color w:val="FF0000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（五）开展采购活动的时间安排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spacing w:after="0" w:line="360" w:lineRule="auto"/>
        <w:ind w:firstLine="480" w:firstLineChars="200"/>
        <w:jc w:val="both"/>
        <w:rPr>
          <w:rFonts w:ascii="楷体" w:hAnsi="楷体" w:eastAsia="楷体"/>
          <w:sz w:val="28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应根据采购项目实施的要求，充分考虑采购活动所需时间和可能影响采购活动进行的因素，合理安排采购活动实施时间。</w:t>
      </w:r>
      <w:r>
        <w:rPr>
          <w:rFonts w:hint="eastAsia" w:ascii="楷体" w:hAnsi="楷体" w:eastAsia="楷体"/>
          <w:sz w:val="28"/>
          <w:szCs w:val="32"/>
          <w:u w:val="single"/>
        </w:rPr>
        <w:t xml:space="preserve">  </w:t>
      </w:r>
    </w:p>
    <w:p>
      <w:pPr>
        <w:spacing w:after="0" w:line="360" w:lineRule="auto"/>
        <w:ind w:firstLine="64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               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（六）采购项目项目预（概）算及最高限价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spacing w:after="0" w:line="360" w:lineRule="auto"/>
        <w:ind w:firstLine="560" w:firstLineChars="200"/>
        <w:jc w:val="both"/>
        <w:rPr>
          <w:rFonts w:ascii="楷体" w:hAnsi="楷体" w:eastAsia="楷体"/>
          <w:sz w:val="28"/>
          <w:szCs w:val="32"/>
          <w:u w:val="single"/>
        </w:rPr>
      </w:pPr>
      <w:r>
        <w:rPr>
          <w:rFonts w:hint="eastAsia" w:ascii="楷体" w:hAnsi="楷体" w:eastAsia="楷体"/>
          <w:sz w:val="28"/>
          <w:szCs w:val="32"/>
        </w:rPr>
        <w:t>包1预（概）算：</w:t>
      </w:r>
      <w:r>
        <w:rPr>
          <w:rFonts w:hint="eastAsia" w:ascii="楷体" w:hAnsi="楷体" w:eastAsia="楷体"/>
          <w:sz w:val="28"/>
          <w:szCs w:val="32"/>
          <w:u w:val="single"/>
        </w:rPr>
        <w:t xml:space="preserve">            </w:t>
      </w:r>
      <w:r>
        <w:rPr>
          <w:rFonts w:hint="eastAsia" w:ascii="楷体" w:hAnsi="楷体" w:eastAsia="楷体"/>
          <w:sz w:val="28"/>
          <w:szCs w:val="32"/>
        </w:rPr>
        <w:t>最高限价：</w:t>
      </w:r>
      <w:r>
        <w:rPr>
          <w:rFonts w:hint="eastAsia" w:ascii="楷体" w:hAnsi="楷体" w:eastAsia="楷体"/>
          <w:sz w:val="28"/>
          <w:szCs w:val="32"/>
          <w:u w:val="single"/>
        </w:rPr>
        <w:t xml:space="preserve">          </w:t>
      </w:r>
    </w:p>
    <w:p>
      <w:pPr>
        <w:spacing w:after="0" w:line="360" w:lineRule="auto"/>
        <w:ind w:firstLine="560" w:firstLineChars="200"/>
        <w:jc w:val="both"/>
        <w:rPr>
          <w:rFonts w:ascii="楷体" w:hAnsi="楷体" w:eastAsia="楷体"/>
          <w:sz w:val="28"/>
          <w:szCs w:val="32"/>
          <w:u w:val="single"/>
        </w:rPr>
      </w:pPr>
      <w:r>
        <w:rPr>
          <w:rFonts w:hint="eastAsia" w:ascii="楷体" w:hAnsi="楷体" w:eastAsia="楷体"/>
          <w:sz w:val="28"/>
          <w:szCs w:val="32"/>
        </w:rPr>
        <w:t>包2预（概）算：</w:t>
      </w:r>
      <w:r>
        <w:rPr>
          <w:rFonts w:hint="eastAsia" w:ascii="楷体" w:hAnsi="楷体" w:eastAsia="楷体"/>
          <w:sz w:val="28"/>
          <w:szCs w:val="32"/>
          <w:u w:val="single"/>
        </w:rPr>
        <w:t xml:space="preserve">            </w:t>
      </w:r>
      <w:r>
        <w:rPr>
          <w:rFonts w:hint="eastAsia" w:ascii="楷体" w:hAnsi="楷体" w:eastAsia="楷体"/>
          <w:sz w:val="28"/>
          <w:szCs w:val="32"/>
        </w:rPr>
        <w:t>最高限价：</w:t>
      </w:r>
      <w:r>
        <w:rPr>
          <w:rFonts w:hint="eastAsia" w:ascii="楷体" w:hAnsi="楷体" w:eastAsia="楷体"/>
          <w:sz w:val="28"/>
          <w:szCs w:val="32"/>
          <w:u w:val="single"/>
        </w:rPr>
        <w:t xml:space="preserve">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（七）采购包划分与合同分包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（采购需求单位填写，</w:t>
      </w:r>
      <w:r>
        <w:rPr>
          <w:rFonts w:hint="eastAsia" w:ascii="楷体" w:hAnsi="楷体" w:eastAsia="楷体"/>
          <w:color w:val="FF0000"/>
          <w:sz w:val="28"/>
          <w:szCs w:val="32"/>
          <w:lang w:eastAsia="zh-CN"/>
        </w:rPr>
        <w:t>采购与招标工作办公室</w:t>
      </w:r>
      <w:r>
        <w:rPr>
          <w:rFonts w:hint="eastAsia" w:ascii="楷体" w:hAnsi="楷体" w:eastAsia="楷体"/>
          <w:color w:val="FF0000"/>
          <w:sz w:val="28"/>
          <w:szCs w:val="32"/>
        </w:rPr>
        <w:t>指导）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应按照有利于采购项目实施的原则，明确采购包或者合同分包要求。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01"/>
        <w:gridCol w:w="1689"/>
        <w:gridCol w:w="1299"/>
        <w:gridCol w:w="808"/>
        <w:gridCol w:w="779"/>
        <w:gridCol w:w="84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包号</w:t>
            </w:r>
          </w:p>
        </w:tc>
        <w:tc>
          <w:tcPr>
            <w:tcW w:w="701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序号</w:t>
            </w:r>
          </w:p>
        </w:tc>
        <w:tc>
          <w:tcPr>
            <w:tcW w:w="1689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标的名称</w:t>
            </w:r>
            <w:r>
              <w:rPr>
                <w:rFonts w:hint="eastAsia" w:ascii="仿宋" w:hAnsi="仿宋" w:eastAsia="仿宋"/>
                <w:i/>
                <w:szCs w:val="28"/>
                <w:u w:val="single"/>
              </w:rPr>
              <w:t>（采购标的应与财政部制定的《政府采购品目分类目录》对应）</w:t>
            </w:r>
          </w:p>
        </w:tc>
        <w:tc>
          <w:tcPr>
            <w:tcW w:w="1299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品目</w:t>
            </w:r>
          </w:p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分类编码</w:t>
            </w:r>
          </w:p>
        </w:tc>
        <w:tc>
          <w:tcPr>
            <w:tcW w:w="808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计量</w:t>
            </w:r>
          </w:p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单位</w:t>
            </w:r>
          </w:p>
        </w:tc>
        <w:tc>
          <w:tcPr>
            <w:tcW w:w="779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数量</w:t>
            </w:r>
          </w:p>
        </w:tc>
        <w:tc>
          <w:tcPr>
            <w:tcW w:w="845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是否</w:t>
            </w:r>
          </w:p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进口</w:t>
            </w:r>
          </w:p>
        </w:tc>
        <w:tc>
          <w:tcPr>
            <w:tcW w:w="1701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分包要求</w:t>
            </w:r>
          </w:p>
          <w:p>
            <w:pPr>
              <w:spacing w:after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i/>
                <w:szCs w:val="28"/>
                <w:u w:val="single"/>
              </w:rPr>
              <w:t>（应载明是否允许中标（成交）供应商将本项目的非主体、非关键性工作进行分包）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</w:t>
            </w:r>
          </w:p>
        </w:tc>
        <w:tc>
          <w:tcPr>
            <w:tcW w:w="7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168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i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129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80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77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84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是/否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二</w:t>
            </w:r>
          </w:p>
        </w:tc>
        <w:tc>
          <w:tcPr>
            <w:tcW w:w="7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168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i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129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80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77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84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……</w:t>
            </w:r>
          </w:p>
        </w:tc>
      </w:tr>
    </w:tbl>
    <w:p>
      <w:pPr>
        <w:spacing w:after="0" w:line="360" w:lineRule="auto"/>
        <w:ind w:firstLine="643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采购进口产品报财政部门核准安排</w:t>
      </w:r>
      <w:r>
        <w:rPr>
          <w:rFonts w:hint="eastAsia" w:ascii="仿宋" w:hAnsi="仿宋" w:eastAsia="仿宋"/>
          <w:b/>
          <w:i/>
          <w:color w:val="FF0000"/>
          <w:sz w:val="32"/>
          <w:szCs w:val="32"/>
        </w:rPr>
        <w:t>（采购进口产品须填写）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color w:val="FF0000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（八）供应商资格条件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根据采购需求特点提出的供应商资格条件，要与采购标的的功能、质量和供应商履约能力直接相关，且属于履行合同必需的条件，包括特定的专业资格或者技术资格、设备设施、业绩情况、专业人才及其管理能力等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业绩情况作为资格条件时，要求供应商提供的同类业务合同一般不超过2个，并明确同类业务的具体范围。涉及政府采购政策支持的创新产品采购的，不得提出同类业务合同、生产台数、使用时长等业绩要求。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要求供应商提供超过2个同类业务合同的，需说明合理性。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应落实支持创新、绿色发展、中小企业发展等政府采购政策功能。</w:t>
      </w:r>
    </w:p>
    <w:p>
      <w:pPr>
        <w:spacing w:after="0" w:line="360" w:lineRule="auto"/>
        <w:ind w:firstLine="560" w:firstLineChars="200"/>
        <w:jc w:val="both"/>
        <w:rPr>
          <w:rFonts w:ascii="楷体" w:hAnsi="楷体" w:eastAsia="楷体"/>
          <w:sz w:val="28"/>
          <w:szCs w:val="32"/>
        </w:rPr>
      </w:pPr>
      <w:r>
        <w:rPr>
          <w:rFonts w:hint="eastAsia" w:ascii="楷体" w:hAnsi="楷体" w:eastAsia="楷体"/>
          <w:sz w:val="28"/>
          <w:szCs w:val="32"/>
        </w:rPr>
        <w:t>1.包1：</w:t>
      </w:r>
      <w:r>
        <w:rPr>
          <w:rFonts w:hint="eastAsia" w:ascii="楷体" w:hAnsi="楷体" w:eastAsia="楷体"/>
          <w:sz w:val="28"/>
          <w:szCs w:val="32"/>
          <w:u w:val="single"/>
        </w:rPr>
        <w:t xml:space="preserve">                                              </w:t>
      </w:r>
    </w:p>
    <w:p>
      <w:pPr>
        <w:spacing w:after="0" w:line="360" w:lineRule="auto"/>
        <w:ind w:firstLine="560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28"/>
          <w:szCs w:val="32"/>
        </w:rPr>
        <w:t>2.包2：</w:t>
      </w:r>
      <w:r>
        <w:rPr>
          <w:rFonts w:hint="eastAsia" w:ascii="楷体" w:hAnsi="楷体" w:eastAsia="楷体"/>
          <w:sz w:val="28"/>
          <w:szCs w:val="32"/>
          <w:u w:val="single"/>
        </w:rPr>
        <w:t xml:space="preserve">                             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（九）评审规则</w:t>
      </w:r>
      <w:r>
        <w:rPr>
          <w:rFonts w:hint="eastAsia" w:ascii="楷体" w:hAnsi="楷体" w:eastAsia="楷体"/>
          <w:color w:val="FF0000"/>
          <w:sz w:val="28"/>
          <w:szCs w:val="32"/>
        </w:rPr>
        <w:t>（需求单位、采购代理机构、</w:t>
      </w:r>
      <w:r>
        <w:rPr>
          <w:rFonts w:hint="eastAsia" w:ascii="楷体" w:hAnsi="楷体" w:eastAsia="楷体"/>
          <w:color w:val="FF0000"/>
          <w:sz w:val="28"/>
          <w:szCs w:val="32"/>
          <w:lang w:eastAsia="zh-CN"/>
        </w:rPr>
        <w:t>采购与招标工作办公室</w:t>
      </w:r>
      <w:r>
        <w:rPr>
          <w:rFonts w:hint="eastAsia" w:ascii="楷体" w:hAnsi="楷体" w:eastAsia="楷体"/>
          <w:color w:val="FF0000"/>
          <w:sz w:val="28"/>
          <w:szCs w:val="32"/>
        </w:rPr>
        <w:t>三方会稿后确定）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采用综合性评审方法的，评审因素应当按照</w:t>
      </w:r>
      <w:r>
        <w:rPr>
          <w:rFonts w:hint="eastAsia" w:ascii="仿宋" w:hAnsi="仿宋" w:eastAsia="仿宋"/>
          <w:i/>
          <w:color w:val="FF0000"/>
          <w:sz w:val="24"/>
          <w:szCs w:val="32"/>
          <w:u w:val="single"/>
        </w:rPr>
        <w:t>采购需求和与实现项目目标</w:t>
      </w:r>
      <w:r>
        <w:rPr>
          <w:rFonts w:hint="eastAsia" w:ascii="仿宋" w:hAnsi="仿宋" w:eastAsia="仿宋"/>
          <w:i/>
          <w:sz w:val="24"/>
          <w:szCs w:val="32"/>
          <w:u w:val="single"/>
        </w:rPr>
        <w:t>相关的其他因素确定。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采购需求客观、明确且规格、标准统一的采购项目，如通用设备、物业管理等，以价格作为授予合同的主要考虑因素。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采购需求客观、明确，且技术较复杂或者专业性较强的采购项目，如大型装备、咨询服务等，通过综合性评审选择性价比最优的产品或服务。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不能完全确定客观指标，需由供应商提供设计方案、解决方案或者组织方案的采购项目，如首购订购、设计服务、政府和社会资本合作等，综合考虑以单方案报价、多方案报价以及性价比要求等因素选择评审方法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评审因素设置不得具有倾向性，将有关履约能力作为评审因素应适当。</w:t>
      </w:r>
    </w:p>
    <w:p>
      <w:pPr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应落实支持创新、绿色发展、中小企业发展等政府采购政策功能。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1.包1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□最低评标价法，选择该评审规则的理由：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</w:t>
      </w:r>
    </w:p>
    <w:p>
      <w:pPr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□综合评分法，选择该评审规则的理由：</w:t>
      </w:r>
      <w:r>
        <w:rPr>
          <w:rFonts w:hint="eastAsia" w:ascii="仿宋" w:hAnsi="仿宋" w:eastAsia="仿宋"/>
          <w:i/>
          <w:sz w:val="24"/>
          <w:szCs w:val="32"/>
          <w:u w:val="single"/>
        </w:rPr>
        <w:t xml:space="preserve">              </w:t>
      </w:r>
    </w:p>
    <w:p>
      <w:pPr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评审规则</w:t>
      </w:r>
    </w:p>
    <w:tbl>
      <w:tblPr>
        <w:tblStyle w:val="7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825"/>
        <w:gridCol w:w="48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包1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评标项目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评标分值</w:t>
            </w:r>
          </w:p>
        </w:tc>
        <w:tc>
          <w:tcPr>
            <w:tcW w:w="487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评标方法描述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871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871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4871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2.包2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（十）落实政府采购政策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1.包1：</w:t>
      </w:r>
    </w:p>
    <w:p>
      <w:pPr>
        <w:overflowPunct w:val="0"/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（1）是否专门面向中小企业采购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pStyle w:val="12"/>
        <w:spacing w:line="360" w:lineRule="auto"/>
        <w:ind w:firstLine="560" w:firstLineChars="20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□是 （</w:t>
      </w:r>
      <w:r>
        <w:rPr>
          <w:rFonts w:hint="eastAsia" w:ascii="仿宋" w:hAnsi="仿宋" w:eastAsia="仿宋"/>
          <w:i/>
          <w:kern w:val="2"/>
          <w:sz w:val="28"/>
          <w:szCs w:val="28"/>
          <w:lang w:val="en-US"/>
        </w:rPr>
        <w:t>一般情况下均要面向</w:t>
      </w:r>
      <w:r>
        <w:rPr>
          <w:rFonts w:hint="eastAsia" w:ascii="仿宋" w:hAnsi="仿宋" w:eastAsia="仿宋"/>
          <w:sz w:val="28"/>
          <w:szCs w:val="28"/>
        </w:rPr>
        <w:t>）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□否，理由：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（2）落实其他政府采购政策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小型、微型企业：按照最新政策执行。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监狱企业：按照最新政策执行。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残疾人福利性单位：按照最新政策执行。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节能产品：按照最新政府采购品目清单执行。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环境标志产品：按照最新环境标志产品政府采购品目清单执行。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信息安全产品：</w:t>
      </w:r>
      <w:r>
        <w:rPr>
          <w:rFonts w:ascii="仿宋" w:hAnsi="仿宋" w:eastAsia="仿宋"/>
          <w:sz w:val="28"/>
          <w:szCs w:val="32"/>
        </w:rPr>
        <w:t>按照《关于信息安全产品实施政府采购的通知》(财库〔2010〕48 号) 的规定执行</w:t>
      </w:r>
      <w:r>
        <w:rPr>
          <w:rFonts w:hint="eastAsia" w:ascii="仿宋" w:hAnsi="仿宋" w:eastAsia="仿宋"/>
          <w:sz w:val="28"/>
          <w:szCs w:val="32"/>
        </w:rPr>
        <w:t>。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无线局域网产品：按照《无线局域网产品政府采购实施意见》(财库〔2005〕366 号) 的规定执行。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2.包2：……</w:t>
      </w:r>
    </w:p>
    <w:p>
      <w:pPr>
        <w:snapToGrid/>
        <w:spacing w:after="0" w:line="360" w:lineRule="auto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二、合同管理安排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color w:val="FF0000"/>
          <w:sz w:val="28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（一）合同类型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合同类型按照民法典规定的典型合同类别，结合采购标的的实际情况确定。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1.包1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□买卖合同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□建设工程合同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□技术合同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□物业服务合同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□委托合同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□其他：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选择合同类型的理由：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2.包2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（二）定价方式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采购需求客观、明确且规格、标准统一的采购项目，如通用设备、物业管理等，采用</w:t>
      </w:r>
      <w:r>
        <w:rPr>
          <w:rFonts w:hint="eastAsia" w:ascii="仿宋" w:hAnsi="仿宋" w:eastAsia="仿宋"/>
          <w:b/>
          <w:i/>
          <w:sz w:val="24"/>
          <w:szCs w:val="32"/>
          <w:u w:val="single"/>
        </w:rPr>
        <w:t>固定总价或者固定单价</w:t>
      </w:r>
      <w:r>
        <w:rPr>
          <w:rFonts w:hint="eastAsia" w:ascii="仿宋" w:hAnsi="仿宋" w:eastAsia="仿宋"/>
          <w:i/>
          <w:sz w:val="24"/>
          <w:szCs w:val="32"/>
          <w:u w:val="single"/>
        </w:rPr>
        <w:t>的定价方式。</w:t>
      </w:r>
    </w:p>
    <w:p>
      <w:pPr>
        <w:overflowPunct w:val="0"/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采购需求客观、明确，且技术较复杂或者专业性较强的采购项目，如大型装备、咨询服务等，采用</w:t>
      </w:r>
      <w:r>
        <w:rPr>
          <w:rFonts w:hint="eastAsia" w:ascii="仿宋" w:hAnsi="仿宋" w:eastAsia="仿宋"/>
          <w:b/>
          <w:i/>
          <w:sz w:val="24"/>
          <w:szCs w:val="32"/>
          <w:u w:val="single"/>
        </w:rPr>
        <w:t>固定总价或者固定单价</w:t>
      </w:r>
      <w:r>
        <w:rPr>
          <w:rFonts w:hint="eastAsia" w:ascii="仿宋" w:hAnsi="仿宋" w:eastAsia="仿宋"/>
          <w:i/>
          <w:sz w:val="24"/>
          <w:szCs w:val="32"/>
          <w:u w:val="single"/>
        </w:rPr>
        <w:t>的定价方式。</w:t>
      </w:r>
    </w:p>
    <w:p>
      <w:pPr>
        <w:overflowPunct w:val="0"/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不能完全确定客观指标，需由供应商提供设计方案、解决方案或者组织方案的采购项目，如首购订购、设计服务、政府和社会资本合作等，根据实现项目目标的要求，采取</w:t>
      </w:r>
      <w:r>
        <w:rPr>
          <w:rFonts w:hint="eastAsia" w:ascii="仿宋" w:hAnsi="仿宋" w:eastAsia="仿宋"/>
          <w:b/>
          <w:i/>
          <w:sz w:val="24"/>
          <w:szCs w:val="32"/>
          <w:u w:val="single"/>
        </w:rPr>
        <w:t>固定总价或者固定单价、成本补偿、绩效激励等单一或者组合定价方式</w:t>
      </w:r>
      <w:r>
        <w:rPr>
          <w:rFonts w:hint="eastAsia" w:ascii="仿宋" w:hAnsi="仿宋" w:eastAsia="仿宋"/>
          <w:i/>
          <w:sz w:val="24"/>
          <w:szCs w:val="32"/>
          <w:u w:val="single"/>
        </w:rPr>
        <w:t>。</w:t>
      </w:r>
    </w:p>
    <w:p>
      <w:pPr>
        <w:overflowPunct w:val="0"/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1.包1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□固定总价，要求：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□固定单价，要求：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□成本补偿，要求：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□绩效激励，要求：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选择定价方式的理由：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2.包2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（三）合同文本的主要条款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overflowPunct w:val="0"/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合同文本应当包含法定必备条款和采购需求的所有内容，包括但不限于标的名称，采购标的质量、数量（规模），履行时间（期限）、地点和方式，包装方式，价款或者报酬、付款进度安排、资金支付方式，验收、交付标准和方法，质量保修范围和保修期，违约责任与解决争议的方法等。</w:t>
      </w:r>
    </w:p>
    <w:p>
      <w:pPr>
        <w:overflowPunct w:val="0"/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项目涉及采购标的的知识产权归属、处理的，如订购、设计、定制开发的信息化建设项目等，应当约定知识产权的归属和处理方式。采购人可以根据项目特点划分合同履行阶段，明确分期考核要求和对应的付款进度安排。对于长期运行的项目，要充分考虑成本、收益以及可能出现的重大 市场风险，在合同中约定成本补偿、风险分担等事项。</w:t>
      </w:r>
    </w:p>
    <w:p>
      <w:pPr>
        <w:overflowPunct w:val="0"/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合同权利义务要围绕采购需求和合同履行设置。国务院有关部门依法制定了政府采购合同标准文本的，应当使用标准文本。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2"/>
          <w:szCs w:val="32"/>
          <w:u w:val="single"/>
        </w:rPr>
      </w:pPr>
      <w:r>
        <w:rPr>
          <w:rFonts w:hint="eastAsia" w:ascii="楷体" w:hAnsi="楷体" w:eastAsia="楷体"/>
          <w:b/>
          <w:sz w:val="30"/>
          <w:szCs w:val="30"/>
        </w:rPr>
        <w:t>1.包1</w:t>
      </w:r>
      <w:r>
        <w:rPr>
          <w:rFonts w:hint="eastAsia" w:ascii="楷体" w:hAnsi="楷体" w:eastAsia="楷体"/>
          <w:b/>
          <w:sz w:val="32"/>
          <w:szCs w:val="32"/>
        </w:rPr>
        <w:t>：</w:t>
      </w:r>
      <w:r>
        <w:rPr>
          <w:rFonts w:hint="eastAsia" w:ascii="楷体" w:hAnsi="楷体" w:eastAsia="楷体"/>
          <w:b/>
          <w:sz w:val="32"/>
          <w:szCs w:val="32"/>
          <w:u w:val="single"/>
        </w:rPr>
        <w:t xml:space="preserve">                                       </w:t>
      </w:r>
    </w:p>
    <w:p>
      <w:pPr>
        <w:snapToGrid/>
        <w:spacing w:after="0" w:line="360" w:lineRule="auto"/>
        <w:ind w:firstLine="640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                 </w:t>
      </w:r>
    </w:p>
    <w:p>
      <w:pPr>
        <w:snapToGrid/>
        <w:spacing w:after="0" w:line="360" w:lineRule="auto"/>
        <w:ind w:firstLine="640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b/>
          <w:sz w:val="30"/>
          <w:szCs w:val="30"/>
        </w:rPr>
        <w:t>法</w:t>
      </w:r>
      <w:r>
        <w:rPr>
          <w:rFonts w:hint="eastAsia" w:ascii="楷体" w:hAnsi="楷体" w:eastAsia="楷体"/>
          <w:b/>
          <w:sz w:val="30"/>
          <w:szCs w:val="30"/>
          <w:lang w:eastAsia="zh-CN"/>
        </w:rPr>
        <w:t>律顾问</w:t>
      </w:r>
      <w:r>
        <w:rPr>
          <w:rFonts w:hint="eastAsia" w:ascii="楷体" w:hAnsi="楷体" w:eastAsia="楷体"/>
          <w:b/>
          <w:sz w:val="30"/>
          <w:szCs w:val="30"/>
        </w:rPr>
        <w:t>审核意见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b/>
          <w:sz w:val="30"/>
          <w:szCs w:val="30"/>
        </w:rPr>
        <w:t>2.包2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                                                          </w:t>
      </w:r>
    </w:p>
    <w:p>
      <w:pPr>
        <w:snapToGrid/>
        <w:spacing w:after="0" w:line="360" w:lineRule="auto"/>
        <w:ind w:firstLine="640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                 </w:t>
      </w:r>
    </w:p>
    <w:p>
      <w:pPr>
        <w:snapToGrid/>
        <w:spacing w:after="0" w:line="360" w:lineRule="auto"/>
        <w:ind w:firstLine="640" w:firstLineChars="200"/>
        <w:jc w:val="both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法务审核意见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（四）履约验收方案</w:t>
      </w:r>
      <w:r>
        <w:rPr>
          <w:rFonts w:hint="eastAsia" w:ascii="楷体" w:hAnsi="楷体" w:eastAsia="楷体"/>
          <w:color w:val="FF0000"/>
          <w:sz w:val="28"/>
          <w:szCs w:val="32"/>
        </w:rPr>
        <w:t>（采购需求单位填写）</w:t>
      </w:r>
    </w:p>
    <w:p>
      <w:pPr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分期实施的采购项目，应当结合分期考核的情况，明确分期验收要求。货物类项目可以根据需要设置出厂检验、到货检验、安装调试检验、配套服务检验等多重验收环节。履约验收方案应当在合同中约定。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1.包1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（1）履约验收主体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□采购人：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□第三方专业机构：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□专家：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□服务对象：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□本项目的其他供应商：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</w:t>
      </w:r>
    </w:p>
    <w:p>
      <w:pPr>
        <w:snapToGrid/>
        <w:spacing w:after="0" w:line="360" w:lineRule="auto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 xml:space="preserve">    □其他：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      </w:t>
      </w:r>
    </w:p>
    <w:p>
      <w:pPr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采购人、采购代理机构可以邀请参加本项目的其他供应商或者第三方专业 机构及专家参与验收，相关验收意见作为验收的参考资料。</w:t>
      </w:r>
    </w:p>
    <w:p>
      <w:pPr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4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政府向社会公众提供的公共服务项目，验收时应当邀请服务对象参与并出具意见，验收结果应当向社会公告。</w:t>
      </w:r>
    </w:p>
    <w:p>
      <w:pPr>
        <w:snapToGrid/>
        <w:spacing w:after="0" w:line="360" w:lineRule="auto"/>
        <w:ind w:firstLine="602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（2）履约验收时间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（3）履约验收方式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（4）履约验收程序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i/>
          <w:sz w:val="24"/>
          <w:szCs w:val="24"/>
          <w:u w:val="single"/>
        </w:rPr>
        <w:t>如设置出厂检验、到货检验、安装调试检验、配套服务检验等多重验收环节</w:t>
      </w:r>
      <w:r>
        <w:rPr>
          <w:rFonts w:hint="eastAsia" w:ascii="仿宋" w:hAnsi="仿宋" w:eastAsia="仿宋"/>
          <w:sz w:val="24"/>
          <w:szCs w:val="24"/>
        </w:rPr>
        <w:t>）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楷体" w:hAnsi="楷体" w:eastAsia="楷体"/>
          <w:b/>
          <w:sz w:val="30"/>
          <w:szCs w:val="30"/>
        </w:rPr>
        <w:t>（5）履约验收内容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</w:t>
      </w:r>
    </w:p>
    <w:p>
      <w:pPr>
        <w:overflowPunct w:val="0"/>
        <w:snapToGrid/>
        <w:spacing w:after="0" w:line="360" w:lineRule="auto"/>
        <w:ind w:firstLine="480" w:firstLineChars="200"/>
        <w:jc w:val="both"/>
        <w:rPr>
          <w:rFonts w:ascii="仿宋" w:hAnsi="仿宋" w:eastAsia="仿宋"/>
          <w:i/>
          <w:sz w:val="28"/>
          <w:szCs w:val="32"/>
          <w:u w:val="single"/>
        </w:rPr>
      </w:pPr>
      <w:r>
        <w:rPr>
          <w:rFonts w:hint="eastAsia" w:ascii="仿宋" w:hAnsi="仿宋" w:eastAsia="仿宋"/>
          <w:i/>
          <w:sz w:val="24"/>
          <w:szCs w:val="32"/>
          <w:u w:val="single"/>
        </w:rPr>
        <w:t>验收内容要包括每一项技术和商务要求的履约情况，验收标准要包括所有客观、量化指标。不能明确客观标准、涉及主观判断的，可以通过在采购人、使用人中开展问卷调查等方式，转化为客观、量化的验收标准。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</w:p>
    <w:p>
      <w:pPr>
        <w:snapToGrid/>
        <w:spacing w:after="0" w:line="360" w:lineRule="auto"/>
        <w:ind w:firstLine="602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（6）履约验收标准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（7）履约验收其他事项：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2.包2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……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color w:val="FF0000"/>
          <w:sz w:val="28"/>
          <w:szCs w:val="32"/>
        </w:rPr>
      </w:pPr>
      <w:r>
        <w:rPr>
          <w:rFonts w:hint="eastAsia" w:ascii="楷体" w:hAnsi="楷体" w:eastAsia="楷体"/>
          <w:b/>
          <w:sz w:val="30"/>
          <w:szCs w:val="30"/>
        </w:rPr>
        <w:t>（五）风险管控措施</w:t>
      </w:r>
      <w:r>
        <w:rPr>
          <w:rFonts w:hint="eastAsia" w:ascii="楷体" w:hAnsi="楷体" w:eastAsia="楷体"/>
          <w:color w:val="FF0000"/>
          <w:sz w:val="28"/>
          <w:szCs w:val="32"/>
        </w:rPr>
        <w:t>（主要由采购代理机构和</w:t>
      </w:r>
      <w:r>
        <w:rPr>
          <w:rFonts w:hint="eastAsia" w:ascii="楷体" w:hAnsi="楷体" w:eastAsia="楷体"/>
          <w:color w:val="FF0000"/>
          <w:sz w:val="28"/>
          <w:szCs w:val="32"/>
          <w:lang w:eastAsia="zh-CN"/>
        </w:rPr>
        <w:t>采购与招标工作办公室</w:t>
      </w:r>
      <w:r>
        <w:rPr>
          <w:rFonts w:hint="eastAsia" w:ascii="楷体" w:hAnsi="楷体" w:eastAsia="楷体"/>
          <w:color w:val="FF0000"/>
          <w:sz w:val="28"/>
          <w:szCs w:val="32"/>
        </w:rPr>
        <w:t>填写）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1.包1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（1）国家政策变化应对措施：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（2）实施环境变化应对措施：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（3）重大技术变化应对措施：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（4）预算项目调整应对措施：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（5）因质疑投诉影响采购进度应对措施：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（6）采购失败应对措施：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     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（7）不按规定签订或者履行合同应对措施：</w:t>
      </w:r>
      <w:r>
        <w:rPr>
          <w:rFonts w:hint="eastAsia" w:ascii="仿宋" w:hAnsi="仿宋" w:eastAsia="仿宋"/>
          <w:sz w:val="28"/>
          <w:szCs w:val="32"/>
          <w:u w:val="single"/>
        </w:rPr>
        <w:t xml:space="preserve">          </w:t>
      </w:r>
    </w:p>
    <w:p>
      <w:pPr>
        <w:snapToGrid/>
        <w:spacing w:after="0" w:line="360" w:lineRule="auto"/>
        <w:ind w:firstLine="560" w:firstLineChars="200"/>
        <w:jc w:val="both"/>
        <w:rPr>
          <w:rFonts w:ascii="仿宋" w:hAnsi="仿宋" w:eastAsia="仿宋"/>
          <w:sz w:val="28"/>
          <w:szCs w:val="32"/>
          <w:u w:val="single"/>
        </w:rPr>
      </w:pPr>
      <w:r>
        <w:rPr>
          <w:rFonts w:hint="eastAsia" w:ascii="仿宋" w:hAnsi="仿宋" w:eastAsia="仿宋"/>
          <w:sz w:val="28"/>
          <w:szCs w:val="32"/>
        </w:rPr>
        <w:t>（8）出现损害国家利益和社会公共利益情形应对措施：</w:t>
      </w:r>
    </w:p>
    <w:p>
      <w:pPr>
        <w:snapToGrid/>
        <w:spacing w:after="0" w:line="360" w:lineRule="auto"/>
        <w:ind w:firstLine="602" w:firstLineChars="200"/>
        <w:jc w:val="both"/>
        <w:rPr>
          <w:rFonts w:ascii="楷体" w:hAnsi="楷体" w:eastAsia="楷体"/>
          <w:b/>
          <w:sz w:val="30"/>
          <w:szCs w:val="30"/>
        </w:rPr>
      </w:pPr>
      <w:r>
        <w:rPr>
          <w:rFonts w:hint="eastAsia" w:ascii="楷体" w:hAnsi="楷体" w:eastAsia="楷体"/>
          <w:b/>
          <w:sz w:val="30"/>
          <w:szCs w:val="30"/>
        </w:rPr>
        <w:t>2.包2</w:t>
      </w:r>
    </w:p>
    <w:p>
      <w:pPr>
        <w:snapToGrid/>
        <w:spacing w:after="0" w:line="360" w:lineRule="auto"/>
        <w:ind w:firstLine="640" w:firstLineChars="200"/>
        <w:jc w:val="both"/>
      </w:pPr>
      <w:r>
        <w:rPr>
          <w:rFonts w:hint="eastAsia" w:ascii="仿宋" w:hAnsi="仿宋" w:eastAsia="仿宋"/>
          <w:sz w:val="32"/>
          <w:szCs w:val="32"/>
        </w:rPr>
        <w:t>…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10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03A4"/>
    <w:rsid w:val="0002143D"/>
    <w:rsid w:val="0002147D"/>
    <w:rsid w:val="00046066"/>
    <w:rsid w:val="00046BFE"/>
    <w:rsid w:val="00050930"/>
    <w:rsid w:val="00094E1B"/>
    <w:rsid w:val="000B1122"/>
    <w:rsid w:val="000C51B9"/>
    <w:rsid w:val="000F222C"/>
    <w:rsid w:val="000F48E3"/>
    <w:rsid w:val="00100927"/>
    <w:rsid w:val="00110026"/>
    <w:rsid w:val="00117DDD"/>
    <w:rsid w:val="001666BD"/>
    <w:rsid w:val="0018689B"/>
    <w:rsid w:val="001C542B"/>
    <w:rsid w:val="001F531A"/>
    <w:rsid w:val="001F77EE"/>
    <w:rsid w:val="00203296"/>
    <w:rsid w:val="00220215"/>
    <w:rsid w:val="00267E86"/>
    <w:rsid w:val="00270945"/>
    <w:rsid w:val="00285380"/>
    <w:rsid w:val="00285DD6"/>
    <w:rsid w:val="00291714"/>
    <w:rsid w:val="002B661F"/>
    <w:rsid w:val="002D0DB7"/>
    <w:rsid w:val="002E3DB0"/>
    <w:rsid w:val="002F07D0"/>
    <w:rsid w:val="00301C9F"/>
    <w:rsid w:val="00323B43"/>
    <w:rsid w:val="00351682"/>
    <w:rsid w:val="003956F6"/>
    <w:rsid w:val="003A1ED0"/>
    <w:rsid w:val="003C67DA"/>
    <w:rsid w:val="003D37D8"/>
    <w:rsid w:val="00402107"/>
    <w:rsid w:val="004106C8"/>
    <w:rsid w:val="00426133"/>
    <w:rsid w:val="004264F8"/>
    <w:rsid w:val="004358AB"/>
    <w:rsid w:val="004C0E5C"/>
    <w:rsid w:val="004D38B8"/>
    <w:rsid w:val="0050343F"/>
    <w:rsid w:val="0051183A"/>
    <w:rsid w:val="0051415D"/>
    <w:rsid w:val="00521C41"/>
    <w:rsid w:val="00524F8F"/>
    <w:rsid w:val="005536E7"/>
    <w:rsid w:val="00580681"/>
    <w:rsid w:val="00586435"/>
    <w:rsid w:val="005C38A1"/>
    <w:rsid w:val="005C45FB"/>
    <w:rsid w:val="005D15DC"/>
    <w:rsid w:val="00612B5E"/>
    <w:rsid w:val="006352FA"/>
    <w:rsid w:val="006577A7"/>
    <w:rsid w:val="006B3E35"/>
    <w:rsid w:val="006B7A8B"/>
    <w:rsid w:val="006E4610"/>
    <w:rsid w:val="006E5011"/>
    <w:rsid w:val="00774DD2"/>
    <w:rsid w:val="00777CE0"/>
    <w:rsid w:val="007D3FE2"/>
    <w:rsid w:val="007F1420"/>
    <w:rsid w:val="007F29A7"/>
    <w:rsid w:val="007F39FC"/>
    <w:rsid w:val="008357F8"/>
    <w:rsid w:val="00843B52"/>
    <w:rsid w:val="00891970"/>
    <w:rsid w:val="008A60FA"/>
    <w:rsid w:val="008B6F75"/>
    <w:rsid w:val="008B7726"/>
    <w:rsid w:val="00922219"/>
    <w:rsid w:val="009B20CC"/>
    <w:rsid w:val="009B3CC5"/>
    <w:rsid w:val="00A0094F"/>
    <w:rsid w:val="00A10F90"/>
    <w:rsid w:val="00A65CB1"/>
    <w:rsid w:val="00A71A41"/>
    <w:rsid w:val="00AF76F3"/>
    <w:rsid w:val="00B02D82"/>
    <w:rsid w:val="00B06224"/>
    <w:rsid w:val="00B31057"/>
    <w:rsid w:val="00BB4FD4"/>
    <w:rsid w:val="00BC437E"/>
    <w:rsid w:val="00BC5C5F"/>
    <w:rsid w:val="00BF479F"/>
    <w:rsid w:val="00C27BF7"/>
    <w:rsid w:val="00C308D1"/>
    <w:rsid w:val="00C81415"/>
    <w:rsid w:val="00C833DD"/>
    <w:rsid w:val="00C8672C"/>
    <w:rsid w:val="00CA7EBE"/>
    <w:rsid w:val="00CC353E"/>
    <w:rsid w:val="00CE353A"/>
    <w:rsid w:val="00D27E52"/>
    <w:rsid w:val="00D31D50"/>
    <w:rsid w:val="00D33F5F"/>
    <w:rsid w:val="00D44A0C"/>
    <w:rsid w:val="00D71378"/>
    <w:rsid w:val="00D75FEB"/>
    <w:rsid w:val="00D82536"/>
    <w:rsid w:val="00D90715"/>
    <w:rsid w:val="00DD6330"/>
    <w:rsid w:val="00E8346D"/>
    <w:rsid w:val="00EC35E7"/>
    <w:rsid w:val="00ED185B"/>
    <w:rsid w:val="00F25D90"/>
    <w:rsid w:val="00F268F5"/>
    <w:rsid w:val="00F66FFE"/>
    <w:rsid w:val="00F86444"/>
    <w:rsid w:val="00FD01D2"/>
    <w:rsid w:val="17E2352B"/>
    <w:rsid w:val="28A07C27"/>
    <w:rsid w:val="5AB95DFF"/>
    <w:rsid w:val="67D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</w:style>
  <w:style w:type="paragraph" w:styleId="3">
    <w:name w:val="Balloon Text"/>
    <w:basedOn w:val="1"/>
    <w:link w:val="1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paragraph" w:customStyle="1" w:styleId="12">
    <w:name w:val="正文2"/>
    <w:basedOn w:val="1"/>
    <w:qFormat/>
    <w:uiPriority w:val="0"/>
    <w:pPr>
      <w:adjustRightInd/>
      <w:snapToGrid/>
      <w:spacing w:after="0"/>
    </w:pPr>
    <w:rPr>
      <w:rFonts w:ascii="Calibri" w:hAnsi="Calibri" w:eastAsia="Times New Roman" w:cs="Times New Roman"/>
      <w:sz w:val="20"/>
      <w:szCs w:val="20"/>
      <w:lang w:val="zh-CN"/>
    </w:rPr>
  </w:style>
  <w:style w:type="character" w:customStyle="1" w:styleId="13">
    <w:name w:val="批注文字 Char"/>
    <w:basedOn w:val="8"/>
    <w:link w:val="2"/>
    <w:semiHidden/>
    <w:qFormat/>
    <w:uiPriority w:val="99"/>
    <w:rPr>
      <w:rFonts w:ascii="Tahoma" w:hAnsi="Tahoma"/>
    </w:rPr>
  </w:style>
  <w:style w:type="character" w:customStyle="1" w:styleId="14">
    <w:name w:val="批注主题 Char"/>
    <w:basedOn w:val="13"/>
    <w:link w:val="6"/>
    <w:semiHidden/>
    <w:qFormat/>
    <w:uiPriority w:val="99"/>
    <w:rPr>
      <w:b/>
      <w:bCs/>
    </w:rPr>
  </w:style>
  <w:style w:type="character" w:customStyle="1" w:styleId="15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799</Words>
  <Characters>4558</Characters>
  <Lines>37</Lines>
  <Paragraphs>10</Paragraphs>
  <TotalTime>1</TotalTime>
  <ScaleCrop>false</ScaleCrop>
  <LinksUpToDate>false</LinksUpToDate>
  <CharactersWithSpaces>5347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柴丽</cp:lastModifiedBy>
  <cp:lastPrinted>2021-10-06T08:07:00Z</cp:lastPrinted>
  <dcterms:modified xsi:type="dcterms:W3CDTF">2023-10-26T02:50:51Z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