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竞争性谈判</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GW2024-SH432</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厦门海洋职业技术学院海洋资源保护与生态治理福建省应用技术工程中心显微注射系统购置项目</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GW2024-SH432</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厦门海洋职业技术学院海洋资源保护与生态治理福建省应用技术工程中心显微注射系统购置</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30</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注射泵系统，</w:t>
            </w:r>
            <w:r>
              <w:rPr>
                <w:rFonts w:hint="eastAsia" w:cs="宋体" w:asciiTheme="minorEastAsia" w:hAnsiTheme="minorEastAsia"/>
                <w:color w:val="000000" w:themeColor="text1"/>
                <w:sz w:val="24"/>
                <w:szCs w:val="24"/>
                <w:lang w:val="en-US" w:eastAsia="zh-CN"/>
              </w:rPr>
              <w:t>1套；显微镜系统</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1套。</w:t>
            </w:r>
          </w:p>
          <w:p>
            <w:pPr>
              <w:spacing w:line="360" w:lineRule="auto"/>
              <w:rPr>
                <w:rFonts w:cs="宋体" w:asciiTheme="minorEastAsia" w:hAnsiTheme="minorEastAsia"/>
                <w:color w:val="000000" w:themeColor="text1"/>
                <w:sz w:val="24"/>
                <w:szCs w:val="24"/>
                <w:u w:val="single"/>
              </w:rPr>
            </w:pPr>
            <w:r>
              <w:rPr>
                <w:rFonts w:hint="eastAsia" w:ascii="宋体" w:hAnsi="宋体"/>
                <w:sz w:val="24"/>
                <w:szCs w:val="28"/>
                <w:highlight w:val="none"/>
                <w:lang w:val="en-US" w:eastAsia="zh-CN"/>
              </w:rPr>
              <w:t>交付时间：合同签订后60天内。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资信证明复印件或</w:t>
            </w:r>
            <w:r>
              <w:rPr>
                <w:rFonts w:hint="eastAsia" w:ascii="宋体" w:hAnsi="宋体" w:cs="宋体"/>
                <w:kern w:val="0"/>
                <w:sz w:val="24"/>
              </w:rPr>
              <w:t>谈判</w:t>
            </w:r>
            <w:r>
              <w:rPr>
                <w:rFonts w:ascii="宋体" w:hAnsi="宋体" w:cs="宋体"/>
                <w:kern w:val="0"/>
                <w:sz w:val="24"/>
              </w:rPr>
              <w:t>担保函复印件。</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，谈判当月成立或享受税收减免政策的供应商，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，谈判当月成立或享受社保减免政策的供应商，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rPr>
                <w:rFonts w:asciiTheme="minorEastAsia" w:hAnsiTheme="minorEastAsia"/>
                <w:color w:val="000000" w:themeColor="text1"/>
                <w:sz w:val="24"/>
                <w:szCs w:val="24"/>
              </w:rPr>
            </w:pPr>
            <w:r>
              <w:rPr>
                <w:rFonts w:hint="eastAsia" w:ascii="宋体" w:hAnsi="宋体" w:cs="宋体"/>
                <w:b/>
                <w:kern w:val="0"/>
                <w:sz w:val="24"/>
                <w:lang w:val="en-US" w:eastAsia="zh-CN"/>
              </w:rPr>
              <w:t>九、</w:t>
            </w:r>
            <w:r>
              <w:rPr>
                <w:rFonts w:hint="eastAsia" w:ascii="宋体" w:hAnsi="宋体" w:cs="宋体"/>
                <w:b/>
                <w:kern w:val="0"/>
                <w:sz w:val="24"/>
              </w:rPr>
              <w:t>本合同包不接受联合体响应。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4</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7</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18</w:t>
            </w:r>
            <w:r>
              <w:rPr>
                <w:rFonts w:hint="eastAsia" w:asciiTheme="minorEastAsia" w:hAnsiTheme="minorEastAsia"/>
                <w:color w:val="000000" w:themeColor="text1"/>
                <w:sz w:val="24"/>
                <w:szCs w:val="24"/>
                <w:highlight w:val="none"/>
              </w:rPr>
              <w:t>日下午17:30时止。</w:t>
            </w:r>
          </w:p>
          <w:p>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在线获取。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bCs/>
                <w:color w:val="000000"/>
                <w:sz w:val="24"/>
                <w:szCs w:val="24"/>
                <w:highlight w:val="none"/>
                <w:lang w:val="en-US"/>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24</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7</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19</w:t>
            </w:r>
            <w:r>
              <w:rPr>
                <w:rFonts w:hint="eastAsia" w:cs="Times New Roman" w:asciiTheme="minorEastAsia" w:hAnsiTheme="minorEastAsia"/>
                <w:bCs/>
                <w:color w:val="000000"/>
                <w:sz w:val="24"/>
                <w:szCs w:val="24"/>
                <w:highlight w:val="none"/>
              </w:rPr>
              <w:t>日9：</w:t>
            </w:r>
            <w:r>
              <w:rPr>
                <w:rFonts w:hint="eastAsia" w:cs="Times New Roman" w:asciiTheme="minorEastAsia" w:hAnsiTheme="minorEastAsia"/>
                <w:bCs/>
                <w:color w:val="000000"/>
                <w:sz w:val="24"/>
                <w:szCs w:val="24"/>
                <w:highlight w:val="none"/>
                <w:lang w:val="en-US" w:eastAsia="zh-CN"/>
              </w:rPr>
              <w:t>30</w:t>
            </w:r>
          </w:p>
          <w:p>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提交地点：厦门市湖滨南路81号光大银行大厦18楼开标厅3</w:t>
            </w:r>
          </w:p>
          <w:p>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bookmarkStart w:id="0" w:name="_GoBack"/>
            <w:bookmarkEnd w:id="0"/>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eastAsiaTheme="minorEastAsia"/>
                <w:kern w:val="0"/>
                <w:sz w:val="24"/>
                <w:lang w:val="en-US" w:eastAsia="zh-CN"/>
              </w:rPr>
              <w:t>林老师</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kern w:val="0"/>
                <w:sz w:val="24"/>
              </w:rPr>
              <w:t>0592-7769264</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4"/>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79E5B82"/>
    <w:rsid w:val="19630D0E"/>
    <w:rsid w:val="1DB535AB"/>
    <w:rsid w:val="378C24E5"/>
    <w:rsid w:val="3BE52A0A"/>
    <w:rsid w:val="57551192"/>
    <w:rsid w:val="5A00606F"/>
    <w:rsid w:val="624E1F9D"/>
    <w:rsid w:val="66CB7486"/>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1582</Words>
  <Characters>1775</Characters>
  <Lines>7</Lines>
  <Paragraphs>1</Paragraphs>
  <TotalTime>1</TotalTime>
  <ScaleCrop>false</ScaleCrop>
  <LinksUpToDate>false</LinksUpToDate>
  <CharactersWithSpaces>1776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2024-07-11T10:05:53Z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A6FC9B3B73F34726AF788A33AE0D7DA8_12</vt:lpwstr>
  </property>
</Properties>
</file>